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83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53187D80" w14:textId="77777777" w:rsidTr="00457232">
        <w:tc>
          <w:tcPr>
            <w:tcW w:w="2185" w:type="dxa"/>
          </w:tcPr>
          <w:p w14:paraId="53187D6D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53187D6E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53187D6F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53187D70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3187D71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53187D72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53187D73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53187D7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53187D75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53187D76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53187D77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53187D7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53187D79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53187D7A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53187D7B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53187D7C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53187D7D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53187D7E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53187D7F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53187D8A" w14:textId="77777777" w:rsidTr="00457232">
        <w:tc>
          <w:tcPr>
            <w:tcW w:w="2185" w:type="dxa"/>
          </w:tcPr>
          <w:p w14:paraId="53187D81" w14:textId="03AA5F77" w:rsidR="004020F2" w:rsidRPr="006530A0" w:rsidRDefault="00E34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Amyes, Nick</w:t>
            </w:r>
          </w:p>
        </w:tc>
        <w:tc>
          <w:tcPr>
            <w:tcW w:w="1485" w:type="dxa"/>
          </w:tcPr>
          <w:p w14:paraId="53187D8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3187D8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3187D8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3187D8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3187D8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3187D8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3187D8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3187D89" w14:textId="41037024" w:rsidR="004020F2" w:rsidRPr="006530A0" w:rsidRDefault="00F25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F25FD0" w14:paraId="53187D94" w14:textId="77777777" w:rsidTr="00457232">
        <w:tc>
          <w:tcPr>
            <w:tcW w:w="2185" w:type="dxa"/>
          </w:tcPr>
          <w:p w14:paraId="53187D8B" w14:textId="7645CAE9" w:rsidR="00F25FD0" w:rsidRPr="00E34E9A" w:rsidRDefault="00F25FD0" w:rsidP="00F25FD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Dawson, Christine</w:t>
            </w:r>
          </w:p>
        </w:tc>
        <w:tc>
          <w:tcPr>
            <w:tcW w:w="1485" w:type="dxa"/>
          </w:tcPr>
          <w:p w14:paraId="53187D8C" w14:textId="67506DB8" w:rsidR="00F25FD0" w:rsidRPr="001943AE" w:rsidRDefault="00F25FD0" w:rsidP="00F25FD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3" w:type="dxa"/>
          </w:tcPr>
          <w:p w14:paraId="53187D8D" w14:textId="07C33838" w:rsidR="00F25FD0" w:rsidRPr="001943AE" w:rsidRDefault="00F25FD0" w:rsidP="00F25FD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53187D8E" w14:textId="77777777" w:rsidR="00F25FD0" w:rsidRPr="001943AE" w:rsidRDefault="00F25FD0" w:rsidP="00F25FD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53187D8F" w14:textId="77777777" w:rsidR="00F25FD0" w:rsidRPr="001943AE" w:rsidRDefault="00F25FD0" w:rsidP="00F25FD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14:paraId="53187D90" w14:textId="2CA66D7E" w:rsidR="00F25FD0" w:rsidRPr="001943AE" w:rsidRDefault="00F25FD0" w:rsidP="00F25FD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53187D91" w14:textId="40FC5DC7" w:rsidR="00F25FD0" w:rsidRPr="001943AE" w:rsidRDefault="00F25FD0" w:rsidP="00F25FD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14:paraId="53187D92" w14:textId="77777777" w:rsidR="00F25FD0" w:rsidRPr="001943AE" w:rsidRDefault="00F25FD0" w:rsidP="00F25FD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53187D93" w14:textId="3E27B369" w:rsidR="00F25FD0" w:rsidRPr="001943AE" w:rsidRDefault="00F25FD0" w:rsidP="00F25FD0">
            <w:pPr>
              <w:jc w:val="center"/>
              <w:rPr>
                <w:i/>
                <w:sz w:val="20"/>
                <w:szCs w:val="20"/>
              </w:rPr>
            </w:pPr>
            <w:r w:rsidRPr="007F752B">
              <w:rPr>
                <w:sz w:val="20"/>
                <w:szCs w:val="20"/>
              </w:rPr>
              <w:t>Nil</w:t>
            </w:r>
          </w:p>
        </w:tc>
      </w:tr>
      <w:tr w:rsidR="00F25FD0" w14:paraId="53187D9E" w14:textId="77777777" w:rsidTr="00457232">
        <w:tc>
          <w:tcPr>
            <w:tcW w:w="2185" w:type="dxa"/>
          </w:tcPr>
          <w:p w14:paraId="53187D95" w14:textId="0697F7CC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Glanville, Moria</w:t>
            </w:r>
          </w:p>
        </w:tc>
        <w:tc>
          <w:tcPr>
            <w:tcW w:w="1485" w:type="dxa"/>
          </w:tcPr>
          <w:p w14:paraId="53187D96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3187D97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3187D98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3187D99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3187D9A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3187D9B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3187D9C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3187D9D" w14:textId="141A8EE6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  <w:r w:rsidRPr="007F752B">
              <w:rPr>
                <w:sz w:val="20"/>
                <w:szCs w:val="20"/>
              </w:rPr>
              <w:t>Nil</w:t>
            </w:r>
          </w:p>
        </w:tc>
      </w:tr>
      <w:tr w:rsidR="00F25FD0" w14:paraId="4B45C1D8" w14:textId="77777777" w:rsidTr="00457232">
        <w:tc>
          <w:tcPr>
            <w:tcW w:w="2185" w:type="dxa"/>
          </w:tcPr>
          <w:p w14:paraId="5C4ADB06" w14:textId="0AAE1DD7" w:rsidR="00F25FD0" w:rsidRDefault="00F25FD0" w:rsidP="00F25FD0">
            <w:pPr>
              <w:jc w:val="center"/>
              <w:rPr>
                <w:iCs/>
                <w:sz w:val="20"/>
                <w:szCs w:val="20"/>
              </w:rPr>
            </w:pPr>
            <w:r w:rsidRPr="00812AE5">
              <w:rPr>
                <w:iCs/>
                <w:sz w:val="20"/>
                <w:szCs w:val="20"/>
              </w:rPr>
              <w:t>Grice, Jackie</w:t>
            </w:r>
          </w:p>
        </w:tc>
        <w:tc>
          <w:tcPr>
            <w:tcW w:w="1485" w:type="dxa"/>
          </w:tcPr>
          <w:p w14:paraId="3EC15D68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B292BA9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57CB3CF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C0AD5A0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6B25BA0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371F6BF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613CD56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0B92ED0" w14:textId="59E8D988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  <w:r w:rsidRPr="007F752B">
              <w:rPr>
                <w:sz w:val="20"/>
                <w:szCs w:val="20"/>
              </w:rPr>
              <w:t>Nil</w:t>
            </w:r>
          </w:p>
        </w:tc>
      </w:tr>
      <w:tr w:rsidR="00F25FD0" w14:paraId="3D36CC3E" w14:textId="77777777" w:rsidTr="00457232">
        <w:tc>
          <w:tcPr>
            <w:tcW w:w="2185" w:type="dxa"/>
          </w:tcPr>
          <w:p w14:paraId="3611E667" w14:textId="7EBE067F" w:rsidR="00F25FD0" w:rsidRDefault="00F25FD0" w:rsidP="00F25FD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Morrison, Stephen</w:t>
            </w:r>
          </w:p>
        </w:tc>
        <w:tc>
          <w:tcPr>
            <w:tcW w:w="1485" w:type="dxa"/>
          </w:tcPr>
          <w:p w14:paraId="67C0C13A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8C1B6AB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A89ADD6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DEE447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7E8431A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462DE9C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0030049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E2E9C80" w14:textId="54EE174A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  <w:r w:rsidRPr="007F752B">
              <w:rPr>
                <w:sz w:val="20"/>
                <w:szCs w:val="20"/>
              </w:rPr>
              <w:t>Nil</w:t>
            </w:r>
          </w:p>
        </w:tc>
      </w:tr>
      <w:tr w:rsidR="00F25FD0" w14:paraId="452F6078" w14:textId="77777777" w:rsidTr="00457232">
        <w:tc>
          <w:tcPr>
            <w:tcW w:w="2185" w:type="dxa"/>
          </w:tcPr>
          <w:p w14:paraId="7DFA80A1" w14:textId="5B0C2C39" w:rsidR="00F25FD0" w:rsidRDefault="00F25FD0" w:rsidP="00F25FD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Sharp, Stephen</w:t>
            </w:r>
          </w:p>
        </w:tc>
        <w:tc>
          <w:tcPr>
            <w:tcW w:w="1485" w:type="dxa"/>
          </w:tcPr>
          <w:p w14:paraId="0E25AA0F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5F9C7CE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A73192D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C99D067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3DCDF54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B70602D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1265CD7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7C46A4F" w14:textId="4D00466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  <w:r w:rsidRPr="007F752B">
              <w:rPr>
                <w:sz w:val="20"/>
                <w:szCs w:val="20"/>
              </w:rPr>
              <w:t>Nil</w:t>
            </w:r>
          </w:p>
        </w:tc>
      </w:tr>
      <w:tr w:rsidR="00F25FD0" w14:paraId="07E32D09" w14:textId="77777777" w:rsidTr="00457232">
        <w:tc>
          <w:tcPr>
            <w:tcW w:w="2185" w:type="dxa"/>
          </w:tcPr>
          <w:p w14:paraId="0AF0E45C" w14:textId="33B6489F" w:rsidR="00F25FD0" w:rsidRDefault="00F25FD0" w:rsidP="00F25FD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Nicholls, Thomas</w:t>
            </w:r>
          </w:p>
        </w:tc>
        <w:tc>
          <w:tcPr>
            <w:tcW w:w="1485" w:type="dxa"/>
          </w:tcPr>
          <w:p w14:paraId="567563C7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081B8A2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B951BE8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25C7343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FBEC555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4A50840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A3A45D5" w14:textId="77777777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895DA43" w14:textId="1E99B310" w:rsidR="00F25FD0" w:rsidRPr="006530A0" w:rsidRDefault="00F25FD0" w:rsidP="00F25FD0">
            <w:pPr>
              <w:jc w:val="center"/>
              <w:rPr>
                <w:sz w:val="20"/>
                <w:szCs w:val="20"/>
              </w:rPr>
            </w:pPr>
            <w:r w:rsidRPr="007F752B">
              <w:rPr>
                <w:sz w:val="20"/>
                <w:szCs w:val="20"/>
              </w:rPr>
              <w:t>Nil</w:t>
            </w:r>
          </w:p>
        </w:tc>
      </w:tr>
      <w:tr w:rsidR="008A1CE8" w14:paraId="28523FF8" w14:textId="77777777" w:rsidTr="00457232">
        <w:tc>
          <w:tcPr>
            <w:tcW w:w="2185" w:type="dxa"/>
          </w:tcPr>
          <w:p w14:paraId="3A28E449" w14:textId="77777777" w:rsidR="008A1CE8" w:rsidRDefault="008A1CE8" w:rsidP="008A1CE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4DCA8961" w14:textId="77777777" w:rsidR="008A1CE8" w:rsidRPr="006530A0" w:rsidRDefault="008A1CE8" w:rsidP="008A1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E05254D" w14:textId="77777777" w:rsidR="008A1CE8" w:rsidRPr="006530A0" w:rsidRDefault="008A1CE8" w:rsidP="008A1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674FDB9" w14:textId="77777777" w:rsidR="008A1CE8" w:rsidRPr="006530A0" w:rsidRDefault="008A1CE8" w:rsidP="008A1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1367AB2" w14:textId="77777777" w:rsidR="008A1CE8" w:rsidRPr="006530A0" w:rsidRDefault="008A1CE8" w:rsidP="008A1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20DEC5D" w14:textId="77777777" w:rsidR="008A1CE8" w:rsidRPr="006530A0" w:rsidRDefault="008A1CE8" w:rsidP="008A1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B315C43" w14:textId="77777777" w:rsidR="008A1CE8" w:rsidRPr="006530A0" w:rsidRDefault="008A1CE8" w:rsidP="008A1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FAD642F" w14:textId="77777777" w:rsidR="008A1CE8" w:rsidRPr="006530A0" w:rsidRDefault="008A1CE8" w:rsidP="008A1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9E95AEF" w14:textId="77777777" w:rsidR="008A1CE8" w:rsidRPr="006530A0" w:rsidRDefault="008A1CE8" w:rsidP="008A1CE8">
            <w:pPr>
              <w:jc w:val="center"/>
              <w:rPr>
                <w:sz w:val="20"/>
                <w:szCs w:val="20"/>
              </w:rPr>
            </w:pPr>
          </w:p>
        </w:tc>
      </w:tr>
      <w:tr w:rsidR="008A1CE8" w14:paraId="53187E70" w14:textId="77777777" w:rsidTr="00457232">
        <w:tc>
          <w:tcPr>
            <w:tcW w:w="2185" w:type="dxa"/>
          </w:tcPr>
          <w:p w14:paraId="53187E67" w14:textId="77777777" w:rsidR="008A1CE8" w:rsidRDefault="008A1CE8" w:rsidP="008A1CE8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53187E68" w14:textId="77777777" w:rsidR="008A1CE8" w:rsidRDefault="008A1CE8" w:rsidP="008A1CE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53187E69" w14:textId="77777777" w:rsidR="008A1CE8" w:rsidRDefault="008A1CE8" w:rsidP="008A1CE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53187E6A" w14:textId="77777777" w:rsidR="008A1CE8" w:rsidRDefault="008A1CE8" w:rsidP="008A1CE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3187E6B" w14:textId="77777777" w:rsidR="008A1CE8" w:rsidRDefault="008A1CE8" w:rsidP="008A1CE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53187E6C" w14:textId="77777777" w:rsidR="008A1CE8" w:rsidRDefault="008A1CE8" w:rsidP="008A1CE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3187E6D" w14:textId="77777777" w:rsidR="008A1CE8" w:rsidRDefault="008A1CE8" w:rsidP="008A1CE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53187E6E" w14:textId="77777777" w:rsidR="008A1CE8" w:rsidRDefault="008A1CE8" w:rsidP="008A1CE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3187E6F" w14:textId="77777777" w:rsidR="008A1CE8" w:rsidRDefault="008A1CE8" w:rsidP="008A1CE8">
            <w:pPr>
              <w:jc w:val="center"/>
              <w:rPr>
                <w:b/>
                <w:u w:val="single"/>
              </w:rPr>
            </w:pPr>
          </w:p>
        </w:tc>
      </w:tr>
    </w:tbl>
    <w:p w14:paraId="53187E71" w14:textId="77777777" w:rsidR="00147558" w:rsidRDefault="00147558" w:rsidP="00A010DE">
      <w:pPr>
        <w:rPr>
          <w:bCs/>
        </w:rPr>
      </w:pPr>
    </w:p>
    <w:p w14:paraId="7B543DDB" w14:textId="149C4C89" w:rsidR="00877CFD" w:rsidRPr="00457232" w:rsidRDefault="00457232" w:rsidP="00A010DE">
      <w:pPr>
        <w:rPr>
          <w:b/>
        </w:rPr>
      </w:pPr>
      <w:r w:rsidRPr="00457232">
        <w:rPr>
          <w:b/>
        </w:rPr>
        <w:t>No renumeration was claimed by Councillors for 2023/2024</w:t>
      </w:r>
    </w:p>
    <w:sectPr w:rsidR="00877CFD" w:rsidRPr="00457232" w:rsidSect="00147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69CA" w14:textId="77777777" w:rsidR="00E639A3" w:rsidRDefault="00E639A3" w:rsidP="00147558">
      <w:r>
        <w:separator/>
      </w:r>
    </w:p>
  </w:endnote>
  <w:endnote w:type="continuationSeparator" w:id="0">
    <w:p w14:paraId="61B36A8F" w14:textId="77777777" w:rsidR="00E639A3" w:rsidRDefault="00E639A3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BABB" w14:textId="77777777" w:rsidR="00BA4986" w:rsidRDefault="00BA4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7E77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C099" w14:textId="77777777" w:rsidR="00BA4986" w:rsidRDefault="00BA4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F3DF" w14:textId="77777777" w:rsidR="00E639A3" w:rsidRDefault="00E639A3" w:rsidP="00147558">
      <w:r>
        <w:separator/>
      </w:r>
    </w:p>
  </w:footnote>
  <w:footnote w:type="continuationSeparator" w:id="0">
    <w:p w14:paraId="2F1EA6F9" w14:textId="77777777" w:rsidR="00E639A3" w:rsidRDefault="00E639A3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246E" w14:textId="77777777" w:rsidR="00BA4986" w:rsidRDefault="00BA4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7E76" w14:textId="1F2B6F17"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</w:t>
    </w:r>
    <w:r w:rsidRPr="00BA4986">
      <w:rPr>
        <w:b/>
        <w:u w:val="single"/>
      </w:rPr>
      <w:t xml:space="preserve">Members of </w:t>
    </w:r>
    <w:r w:rsidR="00BA4986" w:rsidRPr="00BA4986">
      <w:rPr>
        <w:b/>
        <w:u w:val="single"/>
      </w:rPr>
      <w:t>Bangor on Dee</w:t>
    </w:r>
    <w:r w:rsidR="00BA4986">
      <w:rPr>
        <w:b/>
        <w:i/>
        <w:u w:val="single"/>
      </w:rPr>
      <w:t xml:space="preserve"> </w:t>
    </w:r>
    <w:r w:rsidR="00866405">
      <w:rPr>
        <w:b/>
        <w:u w:val="single"/>
      </w:rPr>
      <w:t xml:space="preserve">Community Council for </w:t>
    </w:r>
    <w:r w:rsidR="00BA4986">
      <w:rPr>
        <w:b/>
        <w:u w:val="single"/>
      </w:rPr>
      <w:t>2023/2024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F87F" w14:textId="77777777" w:rsidR="00BA4986" w:rsidRDefault="00BA4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50C3A"/>
    <w:rsid w:val="000769DF"/>
    <w:rsid w:val="000A79B8"/>
    <w:rsid w:val="000B3BD4"/>
    <w:rsid w:val="00116182"/>
    <w:rsid w:val="00147558"/>
    <w:rsid w:val="00150D95"/>
    <w:rsid w:val="001943AE"/>
    <w:rsid w:val="001B24EF"/>
    <w:rsid w:val="001E034E"/>
    <w:rsid w:val="00281CAB"/>
    <w:rsid w:val="00327D04"/>
    <w:rsid w:val="003857A3"/>
    <w:rsid w:val="004020F2"/>
    <w:rsid w:val="00457232"/>
    <w:rsid w:val="004766E9"/>
    <w:rsid w:val="00491388"/>
    <w:rsid w:val="005A50A9"/>
    <w:rsid w:val="00614F1C"/>
    <w:rsid w:val="006530A0"/>
    <w:rsid w:val="006F6070"/>
    <w:rsid w:val="007509FB"/>
    <w:rsid w:val="00812AE5"/>
    <w:rsid w:val="00866405"/>
    <w:rsid w:val="00877CFD"/>
    <w:rsid w:val="008A1CE8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B725E4"/>
    <w:rsid w:val="00BA4986"/>
    <w:rsid w:val="00C046A8"/>
    <w:rsid w:val="00C43F87"/>
    <w:rsid w:val="00D5770E"/>
    <w:rsid w:val="00D57B6F"/>
    <w:rsid w:val="00DF5911"/>
    <w:rsid w:val="00DF5B4D"/>
    <w:rsid w:val="00E34E9A"/>
    <w:rsid w:val="00E4461D"/>
    <w:rsid w:val="00E639A3"/>
    <w:rsid w:val="00E73E4B"/>
    <w:rsid w:val="00F25FD0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87D6D"/>
  <w15:docId w15:val="{646A8CF3-B216-4481-9DEE-D8655AD3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E4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279E94E-1046-4605-82C8-12AAA927B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Katrina Chalk</cp:lastModifiedBy>
  <cp:revision>2</cp:revision>
  <dcterms:created xsi:type="dcterms:W3CDTF">2024-04-05T09:28:00Z</dcterms:created>
  <dcterms:modified xsi:type="dcterms:W3CDTF">2024-04-05T09:28:00Z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